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泰州市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“六五”普法先进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集体、先进个人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名额分配表（市、区）</w:t>
      </w:r>
    </w:p>
    <w:tbl>
      <w:tblPr>
        <w:tblStyle w:val="4"/>
        <w:tblpPr w:leftFromText="180" w:rightFromText="180" w:vertAnchor="text" w:horzAnchor="margin" w:tblpY="482"/>
        <w:tblW w:w="88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3300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单</w:t>
            </w: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位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先进集体（个）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先进个人（名）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靖江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泰兴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11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兴化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海陵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区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高港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区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姜堰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区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医药高新区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农业开发区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合计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86</w:t>
            </w:r>
          </w:p>
        </w:tc>
      </w:tr>
    </w:tbl>
    <w:p>
      <w:pPr>
        <w:spacing w:line="580" w:lineRule="exact"/>
        <w:jc w:val="left"/>
        <w:rPr>
          <w:rFonts w:hint="eastAsia" w:ascii="仿宋_GB2312" w:hAnsi="宋体" w:eastAsia="仿宋_GB2312"/>
          <w:sz w:val="44"/>
          <w:szCs w:val="44"/>
        </w:rPr>
      </w:pPr>
    </w:p>
    <w:p>
      <w:pPr>
        <w:spacing w:line="600" w:lineRule="exact"/>
        <w:rPr>
          <w:rFonts w:hint="eastAsia" w:ascii="仿宋_GB2312" w:hAnsi="仿宋_GB2312" w:eastAsia="仿宋_GB2312"/>
          <w:sz w:val="32"/>
        </w:rPr>
      </w:pPr>
    </w:p>
    <w:p>
      <w:pPr>
        <w:spacing w:line="580" w:lineRule="exact"/>
        <w:jc w:val="left"/>
        <w:rPr>
          <w:rFonts w:hint="eastAsia"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方正小标宋_GBK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泰州市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“六五”普法先进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集体、先进个人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名额分配表（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市直部门、单位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）</w:t>
      </w:r>
    </w:p>
    <w:p>
      <w:pPr>
        <w:widowControl/>
        <w:jc w:val="center"/>
        <w:rPr>
          <w:rFonts w:hint="eastAsia" w:ascii="黑体" w:hAnsi="黑体" w:eastAsia="黑体"/>
          <w:bCs/>
          <w:kern w:val="0"/>
          <w:sz w:val="32"/>
          <w:szCs w:val="32"/>
        </w:rPr>
      </w:pPr>
    </w:p>
    <w:tbl>
      <w:tblPr>
        <w:tblStyle w:val="4"/>
        <w:tblW w:w="8625" w:type="dxa"/>
        <w:tblInd w:w="2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5"/>
        <w:gridCol w:w="2760"/>
        <w:gridCol w:w="3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</w:rPr>
              <w:t>单   位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</w:rPr>
              <w:t>先进集体（个）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</w:rPr>
              <w:t>先进个人（名）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市委办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市人大办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市政府办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市政协办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市纪委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市中院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市检察院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市委组织部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市委宣传部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市委政法委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委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机关工委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市经信委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市卫计委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市公安局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市司法局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市民政局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市财政局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市商务局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市人社局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市国土局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市住建局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市城管局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市交通局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市水利局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市农委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市文广新局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市发改委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市环保局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市安监局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市法制办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市民防局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市委党校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泰州日报社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市广电台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市总工会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团市委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市妇联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市统计局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市质监局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市审计局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市体育局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市民宗局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市国税局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市地税局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市工商局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市烟草专卖局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市食药监局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泰州海事局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供电公司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泰州高职院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泰州电信公司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28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南师大泰州学院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市教育局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（含市直学校）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2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exac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合计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26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44</w:t>
            </w:r>
          </w:p>
        </w:tc>
      </w:tr>
    </w:tbl>
    <w:p>
      <w:pPr>
        <w:spacing w:line="580" w:lineRule="exact"/>
        <w:rPr>
          <w:rFonts w:hint="eastAsia" w:ascii="黑体" w:hAnsi="黑体" w:eastAsia="黑体" w:cs="黑体"/>
          <w:sz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泰州市“六五”普法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先进集体和先进个人评选条件</w:t>
      </w:r>
    </w:p>
    <w:p>
      <w:pPr>
        <w:snapToGrid w:val="0"/>
        <w:spacing w:line="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一、先进集体（含镇、街道）评选条件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1．</w:t>
      </w:r>
      <w:r>
        <w:rPr>
          <w:rFonts w:hint="eastAsia" w:ascii="楷体" w:hAnsi="楷体" w:eastAsia="楷体" w:cs="楷体"/>
          <w:kern w:val="2"/>
          <w:sz w:val="32"/>
          <w:szCs w:val="32"/>
        </w:rPr>
        <w:t>领导重视。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结合本地区、本系统、本单位的实际制定“六五”普法规划，年度有工作计划，有部署、有检查、有总结。建立了普法领导工作机构，工作职责明确，组织运转协调，工作卓有成效。普法经费列入财政预算，并逐年有所增加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2．</w:t>
      </w:r>
      <w:r>
        <w:rPr>
          <w:rFonts w:hint="eastAsia" w:ascii="楷体" w:hAnsi="楷体" w:eastAsia="楷体" w:cs="楷体"/>
          <w:kern w:val="2"/>
          <w:sz w:val="32"/>
          <w:szCs w:val="32"/>
        </w:rPr>
        <w:t>建章立制。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规章制度健全，建立和实行责任制、责任追究制，建立常年法律顾问制度，加强对各项事务的依法管理。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3．</w:t>
      </w:r>
      <w:r>
        <w:rPr>
          <w:rFonts w:hint="eastAsia" w:ascii="楷体" w:hAnsi="楷体" w:eastAsia="楷体" w:cs="楷体"/>
          <w:kern w:val="2"/>
          <w:sz w:val="32"/>
          <w:szCs w:val="32"/>
        </w:rPr>
        <w:t>普治并举。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通过积极有效的法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eastAsia="zh-CN"/>
        </w:rPr>
        <w:t>治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宣传教育有力推动各项工作深入开展，领导干部带头学法用法，坚持法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eastAsia="zh-CN"/>
        </w:rPr>
        <w:t>治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宣传与法治实践相结合，依法决策、依法行政、依法办事水平较高。没有发生重大违法乱纪案件和行政败诉案件。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4．</w:t>
      </w:r>
      <w:r>
        <w:rPr>
          <w:rFonts w:hint="eastAsia" w:ascii="楷体" w:hAnsi="楷体" w:eastAsia="楷体" w:cs="楷体"/>
          <w:kern w:val="2"/>
          <w:sz w:val="32"/>
          <w:szCs w:val="32"/>
        </w:rPr>
        <w:t>成绩突出。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学法制度得到有效落实，干部、群众整体法律素质得到明显提高，善于运用法律知识处理和解决实际问题。法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eastAsia="zh-CN"/>
        </w:rPr>
        <w:t>治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宣传工作在本地区、本部门、本行业处于领先水平，有一定的先进经验。生产、生活、工作秩序良好，没有发生重大影响的群体性事件和重大安全责任事故，没有发生其他造成恶劣影响的事件。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二、先进个人评选条件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1．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模范遵守和执行国家法律法规、党的路线方针政策，认真学习法律知识，具有较丰富的法律知识和较强的法律运用水平。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2．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长期从事基层法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eastAsia="zh-CN"/>
        </w:rPr>
        <w:t>治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宣传教育工作和法律服务或在工作生活中积极主动地参与法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eastAsia="zh-CN"/>
        </w:rPr>
        <w:t>治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宣传教育工作，为传播法律知识、弘扬法治精神，提高本地区、本部门、本行业公民的法律素质做出重要贡献。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3．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自觉学法用法，严格依法办事，依法维护自己的合法权益和履行法定义务，努力维护法律权威。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4．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运用法律，为捍卫集体和他人的合法权益做出突出贡献。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</w:rPr>
      </w:pP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spacing w:after="158" w:afterLines="50" w:line="58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泰州市“六五”普法先进集体推荐表</w:t>
      </w:r>
    </w:p>
    <w:tbl>
      <w:tblPr>
        <w:tblStyle w:val="4"/>
        <w:tblW w:w="132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7064"/>
        <w:gridCol w:w="4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31" w:type="dxa"/>
          <w:trHeight w:val="698" w:hRule="atLeas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申报单位</w:t>
            </w:r>
          </w:p>
        </w:tc>
        <w:tc>
          <w:tcPr>
            <w:tcW w:w="7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88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31" w:type="dxa"/>
          <w:trHeight w:val="2865" w:hRule="atLeast"/>
        </w:trPr>
        <w:tc>
          <w:tcPr>
            <w:tcW w:w="8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主要成绩：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ind w:firstLine="4340" w:firstLineChars="155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ind w:firstLine="4340" w:firstLineChars="155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ind w:firstLine="4340" w:firstLineChars="155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ind w:firstLine="4340" w:firstLineChars="155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字以内，可另附纸）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31" w:type="dxa"/>
          <w:trHeight w:val="3091" w:hRule="atLeast"/>
        </w:trPr>
        <w:tc>
          <w:tcPr>
            <w:tcW w:w="8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申报单位意见：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（盖 章）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31" w:type="dxa"/>
          <w:trHeight w:val="90" w:hRule="atLeast"/>
        </w:trPr>
        <w:tc>
          <w:tcPr>
            <w:tcW w:w="8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市（区）法制宣传教育领导小组办公室推荐意见（市直学校由市教育局提出推荐意见）：</w:t>
            </w:r>
          </w:p>
          <w:p>
            <w:pPr>
              <w:ind w:right="56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                     </w:t>
            </w:r>
          </w:p>
          <w:p>
            <w:pPr>
              <w:ind w:right="56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（盖 章）</w:t>
            </w:r>
          </w:p>
          <w:p>
            <w:pPr>
              <w:ind w:right="560"/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8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泰州市法制宣传教育领导小组办公室审核意见：</w:t>
            </w:r>
          </w:p>
          <w:p>
            <w:pPr>
              <w:ind w:firstLine="1260" w:firstLineChars="45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盖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章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）</w:t>
            </w:r>
          </w:p>
          <w:p>
            <w:pPr>
              <w:ind w:firstLine="4340" w:firstLineChars="155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年   月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日</w:t>
            </w:r>
          </w:p>
        </w:tc>
        <w:tc>
          <w:tcPr>
            <w:tcW w:w="44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spacing w:after="158" w:afterLines="50" w:line="58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泰州市“六五”普法先进个人推荐表</w:t>
      </w:r>
    </w:p>
    <w:tbl>
      <w:tblPr>
        <w:tblStyle w:val="4"/>
        <w:tblW w:w="884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088"/>
        <w:gridCol w:w="900"/>
        <w:gridCol w:w="900"/>
        <w:gridCol w:w="900"/>
        <w:gridCol w:w="1080"/>
        <w:gridCol w:w="900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   名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民族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单位及职务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政治面貌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</w:trPr>
        <w:tc>
          <w:tcPr>
            <w:tcW w:w="88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主要事迹：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             </w:t>
            </w: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字以内，可另附纸）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</w:trPr>
        <w:tc>
          <w:tcPr>
            <w:tcW w:w="88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本人所在单位意见：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（盖 章）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88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市（区）法制宣传教育领导小组办公室推荐意见（市直学校由市教育局提出推荐意见）：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ind w:right="56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                     （盖 章）</w:t>
            </w:r>
          </w:p>
          <w:p>
            <w:pPr>
              <w:ind w:right="560"/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88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泰州市法制宣传教育领导小组办公室审核意见：</w:t>
            </w:r>
          </w:p>
          <w:p>
            <w:pPr>
              <w:ind w:firstLine="1260" w:firstLineChars="45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盖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章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）</w:t>
            </w:r>
          </w:p>
          <w:p>
            <w:pPr>
              <w:ind w:firstLine="4340" w:firstLineChars="155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泰州市“六五”普法先进个人审核表</w:t>
      </w:r>
    </w:p>
    <w:p>
      <w:pPr>
        <w:spacing w:line="40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所在地区（单位）：</w:t>
      </w:r>
    </w:p>
    <w:tbl>
      <w:tblPr>
        <w:tblStyle w:val="4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864"/>
        <w:gridCol w:w="945"/>
        <w:gridCol w:w="3546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   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性别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-317" w:leftChars="-151" w:firstLine="316" w:firstLineChars="113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年龄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单      位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89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所在地（单位）纪检部门审核意见：</w:t>
            </w:r>
          </w:p>
          <w:p>
            <w:pPr>
              <w:spacing w:line="600" w:lineRule="exact"/>
              <w:ind w:firstLine="4620" w:firstLineChars="1650"/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600" w:lineRule="exact"/>
              <w:ind w:right="560" w:firstLine="5880" w:firstLineChars="21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（章）</w:t>
            </w:r>
          </w:p>
          <w:p>
            <w:pPr>
              <w:spacing w:line="600" w:lineRule="exact"/>
              <w:ind w:right="560" w:firstLine="5740" w:firstLineChars="205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89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所在地（单位）组织部门审核意见：</w:t>
            </w:r>
          </w:p>
          <w:p>
            <w:pPr>
              <w:spacing w:line="600" w:lineRule="exact"/>
              <w:ind w:firstLine="4620" w:firstLineChars="165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600" w:lineRule="exact"/>
              <w:ind w:firstLine="5880" w:firstLineChars="21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（章）</w:t>
            </w:r>
          </w:p>
          <w:p>
            <w:pPr>
              <w:spacing w:line="600" w:lineRule="exact"/>
              <w:ind w:firstLine="5740" w:firstLineChars="205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89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备   注：</w:t>
            </w:r>
          </w:p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snapToGrid w:val="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填表说明：1.此表适用领导干部申报先进个人审核之用。</w:t>
      </w:r>
    </w:p>
    <w:p>
      <w:pPr>
        <w:snapToGrid w:val="0"/>
        <w:ind w:firstLine="1050" w:firstLineChars="500"/>
        <w:rPr>
          <w:rFonts w:hint="eastAsia" w:ascii="仿宋_GB2312" w:hAnsi="宋体" w:eastAsia="仿宋_GB2312" w:cs="宋体"/>
          <w:color w:val="000000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szCs w:val="21"/>
        </w:rPr>
        <w:t>2.各地按照干部管理权限申报审核。</w:t>
      </w:r>
    </w:p>
    <w:p/>
    <w:sectPr>
      <w:pgSz w:w="11906" w:h="16838"/>
      <w:pgMar w:top="2098" w:right="1474" w:bottom="181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706F7"/>
    <w:rsid w:val="375B6D7C"/>
    <w:rsid w:val="4AB706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2016-08-24T00:59:00Z</dcterms:created>
  <dc:creator>刘亚雯</dc:creator>
  <cp:lastModifiedBy>刘亚雯</cp:lastModifiedBy>
  <dcterms:modified xsi:type="dcterms:W3CDTF">2016-08-24T00:59:54Z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